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D272AF" w:rsidP="00D272AF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臺北市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信義</w:t>
      </w:r>
      <w:r>
        <w:rPr>
          <w:rFonts w:ascii="標楷體" w:eastAsia="標楷體" w:hAnsi="標楷體" w:hint="eastAsia"/>
          <w:kern w:val="0"/>
          <w:sz w:val="32"/>
          <w:szCs w:val="32"/>
        </w:rPr>
        <w:t>國民中學</w:t>
      </w:r>
      <w:r>
        <w:rPr>
          <w:rFonts w:eastAsia="標楷體"/>
          <w:kern w:val="0"/>
          <w:sz w:val="32"/>
          <w:szCs w:val="32"/>
        </w:rPr>
        <w:t>110</w:t>
      </w:r>
      <w:r>
        <w:rPr>
          <w:rFonts w:ascii="標楷體" w:eastAsia="標楷體" w:hAnsi="標楷體" w:hint="eastAsia"/>
          <w:kern w:val="0"/>
          <w:sz w:val="32"/>
          <w:szCs w:val="32"/>
        </w:rPr>
        <w:t>學年度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社會</w:t>
      </w:r>
      <w:r>
        <w:rPr>
          <w:rFonts w:ascii="標楷體" w:eastAsia="標楷體" w:hAnsi="標楷體" w:hint="eastAsia"/>
          <w:kern w:val="0"/>
          <w:sz w:val="32"/>
          <w:szCs w:val="32"/>
        </w:rPr>
        <w:t>領域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公民與社會科</w:t>
      </w:r>
      <w:r>
        <w:rPr>
          <w:rFonts w:ascii="標楷體" w:eastAsia="標楷體" w:hAnsi="標楷體" w:hint="eastAsia"/>
          <w:kern w:val="0"/>
          <w:sz w:val="32"/>
          <w:szCs w:val="32"/>
        </w:rPr>
        <w:t>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745FBC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252D7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745FBC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252D7B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CD388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745FBC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4956B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shd w:val="clear" w:color="auto" w:fill="000000" w:themeFill="text1"/>
              </w:rPr>
              <w:t>□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BA20CB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745FBC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550459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745FBC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1.知道現代國家與政府的構成要素，並了解民主政治的特色。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2.了解憲法如何保障人權，以及憲法與政府的關係。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3.能分辨中央政府與地方政府的組成與職權。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4.明瞭政治參與的重要性，並說出選舉的原則及功能。</w:t>
            </w:r>
          </w:p>
          <w:p w:rsidR="00CD3888" w:rsidRPr="002321FD" w:rsidRDefault="00CD3888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5.學習法律基本常識，使人人具備法學能力及涵養。</w:t>
            </w:r>
          </w:p>
          <w:p w:rsidR="00CD3888" w:rsidRPr="002321FD" w:rsidRDefault="00CD3888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6.認識民法的基本內容，提升處理民事糾紛的能力。</w:t>
            </w:r>
          </w:p>
          <w:p w:rsidR="00CD3888" w:rsidRPr="002321FD" w:rsidRDefault="00CD3888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7.認識刑法的基本內容，降低社會暴力事件發生。</w:t>
            </w:r>
          </w:p>
          <w:p w:rsidR="00CD3888" w:rsidRPr="002321FD" w:rsidRDefault="00CD3888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8.了解行政法規與日常生活的關係，並知曉如何尋求行政救濟。</w:t>
            </w:r>
          </w:p>
          <w:p w:rsidR="004956B8" w:rsidRPr="00C66CF1" w:rsidRDefault="00CD3888" w:rsidP="006A6CE1">
            <w:pPr>
              <w:jc w:val="both"/>
              <w:rPr>
                <w:sz w:val="20"/>
                <w:szCs w:val="20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9.了解少年的法律常識，避免觸犯法律規定。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745FB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單元/主題</w:t>
            </w:r>
          </w:p>
          <w:p w:rsidR="00CD3888" w:rsidRPr="00745FBC" w:rsidRDefault="00CD3888" w:rsidP="00745FB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FF23C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3F5D61" w:rsidRDefault="00CD3888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745FB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CD3888" w:rsidRPr="003F5D61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CD3888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CD3888" w:rsidRPr="003F5D61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bookmarkStart w:id="0" w:name="國際教育議題"/>
            <w:r w:rsidRPr="00C66CF1">
              <w:rPr>
                <w:rFonts w:ascii="標楷體" w:eastAsia="標楷體" w:hAnsi="標楷體" w:hint="eastAsia"/>
                <w:b/>
                <w:szCs w:val="20"/>
              </w:rPr>
              <w:t>國際教育</w:t>
            </w:r>
            <w:bookmarkEnd w:id="0"/>
            <w:r w:rsidRPr="00C66CF1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E955A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隨堂練習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社2c-IV-1 從歷史或社會事件中，省思自身或所屬群體的文化淵源、處境及自主性。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公Bf-IV-1 法治與人治的差異。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被稱為「人民權利的保障書」？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人J2 關懷國內人權議題，提出一個符合正義的社會藍圖，並進行社會改進與行動。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公Bf-IV-1 法治與人治的差異。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人J2 關懷國內人權議題，提出一個符合正義的社會藍圖，並進行社會改進與行動。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公Be-IV-1 民主國家的政府體制為什麼須符合權力分立的原則？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公Be-IV-1 民主國家的政府體制為什麼須符合權力分立的原則？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公Be-IV-1 民主國家的政府體制為什麼須符合權力分立的原則？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4.隨堂練習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3.隨堂練習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公Cc-IV-1 民主社會中的政治參與為什麼很重要？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D3888" w:rsidRDefault="00CD3888" w:rsidP="00745FB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公Cc-IV-1 民主社會中的政治參與為什麼很重要？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Default="00CD388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為什麼一般人能自由訂立契約，而限制行為能力人訂立契約原則上必須得法定代理人同意？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</w:t>
            </w: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為什麼一般人能自由訂立契約，而限制行為能力人訂立契約原則上必須得法定代理人同意？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為什麼一般人能自由訂立契約，而限制行為能力人訂立契約原則上必須得法定代理人同意？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2C0010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C00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公Bj-IV-1 為什麼一般契約只要雙方當事人合意即可生效，而有些契約必須完成登記方能生效？</w:t>
            </w:r>
          </w:p>
          <w:p w:rsidR="00CD3888" w:rsidRPr="002C0010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C00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侵權行為的概念與責任。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社會生活上人民如何解決民事紛爭？這些解決方法各有哪些優缺點？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-1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侵權行為的概念與責任。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:rsidR="00CD3888" w:rsidRPr="002C0010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社會生活上人民如何解決民事紛爭？這些解決方法各有哪些優缺點？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-1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侵權行為的概念與責任。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:rsidR="00CD3888" w:rsidRPr="004904FE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社會生活上人民如何解決民事紛爭？這些解決方法各有哪些優缺點？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-1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侵權行為的概念與責任。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社會生活上人民如何解決民事紛爭？這些解決方法各有哪些優缺點？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公Bi-IV-1 國家為什麼要制定刑法？為什麼行為的處罰，必須以行為時的法律有明文規定者為限？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公Bh-IV-1 為什麼行政法與我們日常生活息息相關？為什麼政府應依法行政？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第六章少年的法律常識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公Bk-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為什麼少年應具備重要的兒童及少年保護的相關法律知識？我國制定保護兒童及少年相關法律的目的是什麼？有哪些相關的重要保護措施？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社會規範如何隨著時間與空間而變動？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認識民事、刑事、行政法的基本原則。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認識性別權益相關法律與性別平等運動的楷模，具備關懷性別少數的態度。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第六章少年的法律常識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公Bk-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為什麼少年應具備重要的兒童及少年保護的相關法律知識？我國制定保護兒童及少年相關法律的目的是什麼？有哪些相關的重要保護措施？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社會規範如何隨著時間與空間而變動？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認識民事、刑事、行政法的基本原則。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認識性別權益相關法律與性別平等運動的楷模，具備關懷性別少數的態度。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第六章少年的法律常識（第三次段考）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公Bk-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為什麼少年應具備重要的兒童及少年保護的相關法律知識？我國制定保護兒童及少年相關法律的目的是什麼？有哪些相關的重要保護措施？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社會規範如何隨著時間與空間而變動？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認識民事、刑事、行政法的基本原則。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認識性別權益相關法律與性別平等運動的楷模，具備關懷性別少數的態度。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D3888" w:rsidRPr="003F5D61" w:rsidTr="00745FB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3888" w:rsidRPr="00287C65" w:rsidRDefault="00CD3888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CD3888" w:rsidRPr="00287C65" w:rsidRDefault="00CD3888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課程所需相關網路資源</w:t>
            </w:r>
          </w:p>
        </w:tc>
      </w:tr>
      <w:tr w:rsidR="00CD3888" w:rsidRPr="003F5D61" w:rsidTr="00745FB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3888" w:rsidRPr="003F5D61" w:rsidRDefault="00CD3888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 w:rsidP="004956B8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19C" w:rsidRDefault="00A9319C" w:rsidP="00252D7B">
      <w:r>
        <w:separator/>
      </w:r>
    </w:p>
  </w:endnote>
  <w:endnote w:type="continuationSeparator" w:id="0">
    <w:p w:rsidR="00A9319C" w:rsidRDefault="00A9319C" w:rsidP="0025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19C" w:rsidRDefault="00A9319C" w:rsidP="00252D7B">
      <w:r>
        <w:separator/>
      </w:r>
    </w:p>
  </w:footnote>
  <w:footnote w:type="continuationSeparator" w:id="0">
    <w:p w:rsidR="00A9319C" w:rsidRDefault="00A9319C" w:rsidP="00252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07DD1"/>
    <w:rsid w:val="00060452"/>
    <w:rsid w:val="002321FD"/>
    <w:rsid w:val="00252D7B"/>
    <w:rsid w:val="00287C65"/>
    <w:rsid w:val="002C6451"/>
    <w:rsid w:val="003F5D61"/>
    <w:rsid w:val="0048384D"/>
    <w:rsid w:val="004956B8"/>
    <w:rsid w:val="00550459"/>
    <w:rsid w:val="005D457E"/>
    <w:rsid w:val="00662E76"/>
    <w:rsid w:val="006A6CE1"/>
    <w:rsid w:val="006C391C"/>
    <w:rsid w:val="00745FBC"/>
    <w:rsid w:val="00933322"/>
    <w:rsid w:val="009C2826"/>
    <w:rsid w:val="00A074E2"/>
    <w:rsid w:val="00A9319C"/>
    <w:rsid w:val="00BA20CB"/>
    <w:rsid w:val="00C42068"/>
    <w:rsid w:val="00C57BF9"/>
    <w:rsid w:val="00CD3888"/>
    <w:rsid w:val="00CF3B58"/>
    <w:rsid w:val="00D272AF"/>
    <w:rsid w:val="00E955A1"/>
    <w:rsid w:val="00F665FC"/>
    <w:rsid w:val="00F9477B"/>
    <w:rsid w:val="00FF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5F297F-81E8-4B7B-ABF1-0E21BCBC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2D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2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2D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2400</Words>
  <Characters>13685</Characters>
  <Application>Microsoft Office Word</Application>
  <DocSecurity>0</DocSecurity>
  <Lines>114</Lines>
  <Paragraphs>32</Paragraphs>
  <ScaleCrop>false</ScaleCrop>
  <Company/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2021-05-22T15:12:00Z</dcterms:created>
  <dcterms:modified xsi:type="dcterms:W3CDTF">2021-07-03T08:30:00Z</dcterms:modified>
</cp:coreProperties>
</file>